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eastAsia="黑体"/>
          <w:sz w:val="44"/>
          <w:szCs w:val="44"/>
          <w:highlight w:val="none"/>
        </w:rPr>
      </w:pPr>
      <w:bookmarkStart w:id="0" w:name="_GoBack"/>
      <w:bookmarkEnd w:id="0"/>
      <w:r>
        <w:rPr>
          <w:rFonts w:hint="eastAsia" w:ascii="黑体" w:eastAsia="黑体"/>
          <w:sz w:val="44"/>
          <w:szCs w:val="44"/>
          <w:highlight w:val="none"/>
        </w:rPr>
        <w:t>籽棉加工承揽协议书</w:t>
      </w:r>
    </w:p>
    <w:p>
      <w:pPr>
        <w:spacing w:line="440" w:lineRule="exact"/>
        <w:jc w:val="center"/>
        <w:rPr>
          <w:sz w:val="24"/>
          <w:highlight w:val="none"/>
        </w:rPr>
      </w:pPr>
      <w:r>
        <w:rPr>
          <w:rFonts w:hint="eastAsia"/>
          <w:sz w:val="24"/>
          <w:highlight w:val="none"/>
        </w:rPr>
        <w:t xml:space="preserve">                 合同编号：</w:t>
      </w:r>
    </w:p>
    <w:p>
      <w:pPr>
        <w:spacing w:line="440" w:lineRule="exact"/>
        <w:ind w:left="4920" w:hanging="4920" w:hangingChars="2050"/>
        <w:rPr>
          <w:sz w:val="24"/>
          <w:highlight w:val="none"/>
        </w:rPr>
      </w:pPr>
      <w:r>
        <w:rPr>
          <w:rFonts w:hint="eastAsia"/>
          <w:sz w:val="24"/>
          <w:highlight w:val="none"/>
        </w:rPr>
        <w:t xml:space="preserve">甲方：阿克苏渝棉农业有限公司             签订地点：重庆市渝中区大同巷19号 </w:t>
      </w:r>
      <w:r>
        <w:rPr>
          <w:sz w:val="24"/>
          <w:highlight w:val="none"/>
        </w:rPr>
        <w:t xml:space="preserve">                         </w:t>
      </w:r>
      <w:r>
        <w:rPr>
          <w:rFonts w:hint="eastAsia"/>
          <w:sz w:val="24"/>
          <w:highlight w:val="none"/>
        </w:rPr>
        <w:t>B幢名义层第二层部分</w:t>
      </w:r>
    </w:p>
    <w:p>
      <w:pPr>
        <w:spacing w:line="440" w:lineRule="exact"/>
        <w:rPr>
          <w:sz w:val="24"/>
          <w:highlight w:val="none"/>
        </w:rPr>
      </w:pPr>
      <w:r>
        <w:rPr>
          <w:rFonts w:hint="eastAsia"/>
          <w:sz w:val="24"/>
          <w:highlight w:val="none"/>
        </w:rPr>
        <w:t>乙方：</w:t>
      </w:r>
      <w:r>
        <w:rPr>
          <w:sz w:val="24"/>
          <w:highlight w:val="none"/>
        </w:rPr>
        <w:t xml:space="preserve">                                  </w:t>
      </w:r>
      <w:r>
        <w:rPr>
          <w:rFonts w:hint="eastAsia"/>
          <w:sz w:val="24"/>
          <w:highlight w:val="none"/>
        </w:rPr>
        <w:t xml:space="preserve"> 签订时间：</w:t>
      </w:r>
      <w:r>
        <w:rPr>
          <w:sz w:val="24"/>
          <w:highlight w:val="none"/>
        </w:rPr>
        <w:t xml:space="preserve">   </w:t>
      </w:r>
      <w:r>
        <w:rPr>
          <w:rFonts w:hint="eastAsia"/>
          <w:sz w:val="24"/>
          <w:highlight w:val="none"/>
        </w:rPr>
        <w:t>年</w:t>
      </w:r>
      <w:r>
        <w:rPr>
          <w:sz w:val="24"/>
          <w:highlight w:val="none"/>
        </w:rPr>
        <w:t xml:space="preserve">  </w:t>
      </w:r>
      <w:r>
        <w:rPr>
          <w:rFonts w:hint="eastAsia"/>
          <w:sz w:val="24"/>
          <w:highlight w:val="none"/>
        </w:rPr>
        <w:t>月</w:t>
      </w:r>
      <w:r>
        <w:rPr>
          <w:sz w:val="24"/>
          <w:highlight w:val="none"/>
        </w:rPr>
        <w:t xml:space="preserve">  </w:t>
      </w:r>
      <w:r>
        <w:rPr>
          <w:rFonts w:hint="eastAsia"/>
          <w:sz w:val="24"/>
          <w:highlight w:val="none"/>
        </w:rPr>
        <w:t>日</w:t>
      </w:r>
    </w:p>
    <w:p>
      <w:pPr>
        <w:spacing w:line="440" w:lineRule="exact"/>
        <w:ind w:firstLine="560" w:firstLineChars="200"/>
        <w:rPr>
          <w:sz w:val="28"/>
          <w:szCs w:val="28"/>
          <w:highlight w:val="none"/>
        </w:rPr>
      </w:pPr>
      <w:r>
        <w:rPr>
          <w:rFonts w:hint="eastAsia"/>
          <w:sz w:val="28"/>
          <w:szCs w:val="28"/>
          <w:highlight w:val="none"/>
        </w:rPr>
        <w:t>根据国家有关法律法规，甲、乙双方本着互惠互利的原则，经过充分友好协商，就乙方承揽</w:t>
      </w:r>
      <w:r>
        <w:rPr>
          <w:rFonts w:hint="eastAsia"/>
          <w:sz w:val="28"/>
          <w:szCs w:val="28"/>
          <w:highlight w:val="none"/>
          <w:u w:val="single"/>
        </w:rPr>
        <w:t>甲方在阿克苏市阿瓦提县阿依巴格镇所属轧花厂收购的籽棉加工为皮棉的</w:t>
      </w:r>
      <w:r>
        <w:rPr>
          <w:rFonts w:hint="eastAsia"/>
          <w:sz w:val="28"/>
          <w:szCs w:val="28"/>
          <w:highlight w:val="none"/>
        </w:rPr>
        <w:t>相关事宜达成一致协议，具体条款如下：</w:t>
      </w:r>
    </w:p>
    <w:p>
      <w:pPr>
        <w:numPr>
          <w:ilvl w:val="0"/>
          <w:numId w:val="1"/>
        </w:numPr>
        <w:tabs>
          <w:tab w:val="left" w:pos="420"/>
        </w:tabs>
        <w:spacing w:line="440" w:lineRule="exact"/>
        <w:rPr>
          <w:b/>
          <w:sz w:val="28"/>
          <w:szCs w:val="28"/>
          <w:highlight w:val="none"/>
        </w:rPr>
      </w:pPr>
      <w:r>
        <w:rPr>
          <w:rFonts w:hint="eastAsia"/>
          <w:b/>
          <w:sz w:val="28"/>
          <w:szCs w:val="28"/>
          <w:highlight w:val="none"/>
        </w:rPr>
        <w:t>加工期限及加工数量、加工费标准。</w:t>
      </w:r>
    </w:p>
    <w:p>
      <w:pPr>
        <w:numPr>
          <w:ilvl w:val="0"/>
          <w:numId w:val="2"/>
        </w:numPr>
        <w:spacing w:line="440" w:lineRule="exact"/>
        <w:ind w:firstLine="560" w:firstLineChars="200"/>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委托</w:t>
      </w:r>
      <w:r>
        <w:rPr>
          <w:rFonts w:hint="eastAsia"/>
          <w:sz w:val="28"/>
          <w:szCs w:val="28"/>
          <w:highlight w:val="none"/>
        </w:rPr>
        <w:t>加工期限</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2023/24棉花年度，即202</w:t>
      </w:r>
      <w:r>
        <w:rPr>
          <w:color w:val="000000" w:themeColor="text1"/>
          <w:sz w:val="28"/>
          <w:szCs w:val="28"/>
          <w:highlight w:val="none"/>
          <w:u w:val="single"/>
          <w14:textFill>
            <w14:solidFill>
              <w14:schemeClr w14:val="tx1"/>
            </w14:solidFill>
          </w14:textFill>
        </w:rPr>
        <w:t>3</w:t>
      </w:r>
      <w:r>
        <w:rPr>
          <w:rFonts w:hint="eastAsia"/>
          <w:color w:val="000000" w:themeColor="text1"/>
          <w:sz w:val="28"/>
          <w:szCs w:val="28"/>
          <w:highlight w:val="none"/>
          <w:u w:val="single"/>
          <w14:textFill>
            <w14:solidFill>
              <w14:schemeClr w14:val="tx1"/>
            </w14:solidFill>
          </w14:textFill>
        </w:rPr>
        <w:t>年9月</w:t>
      </w:r>
      <w:r>
        <w:rPr>
          <w:color w:val="000000" w:themeColor="text1"/>
          <w:sz w:val="28"/>
          <w:szCs w:val="28"/>
          <w:highlight w:val="none"/>
          <w:u w:val="single"/>
          <w14:textFill>
            <w14:solidFill>
              <w14:schemeClr w14:val="tx1"/>
            </w14:solidFill>
          </w14:textFill>
        </w:rPr>
        <w:t>1</w:t>
      </w:r>
      <w:r>
        <w:rPr>
          <w:rFonts w:hint="eastAsia"/>
          <w:color w:val="000000" w:themeColor="text1"/>
          <w:sz w:val="28"/>
          <w:szCs w:val="28"/>
          <w:highlight w:val="none"/>
          <w:u w:val="single"/>
          <w14:textFill>
            <w14:solidFill>
              <w14:schemeClr w14:val="tx1"/>
            </w14:solidFill>
          </w14:textFill>
        </w:rPr>
        <w:t>日起至</w:t>
      </w:r>
      <w:r>
        <w:rPr>
          <w:color w:val="000000" w:themeColor="text1"/>
          <w:sz w:val="28"/>
          <w:szCs w:val="28"/>
          <w:highlight w:val="none"/>
          <w:u w:val="single"/>
          <w14:textFill>
            <w14:solidFill>
              <w14:schemeClr w14:val="tx1"/>
            </w14:solidFill>
          </w14:textFill>
        </w:rPr>
        <w:t xml:space="preserve"> 2024</w:t>
      </w:r>
      <w:r>
        <w:rPr>
          <w:rFonts w:hint="eastAsia"/>
          <w:color w:val="000000" w:themeColor="text1"/>
          <w:sz w:val="28"/>
          <w:szCs w:val="28"/>
          <w:highlight w:val="none"/>
          <w:u w:val="single"/>
          <w14:textFill>
            <w14:solidFill>
              <w14:schemeClr w14:val="tx1"/>
            </w14:solidFill>
          </w14:textFill>
        </w:rPr>
        <w:t>年</w:t>
      </w:r>
      <w:r>
        <w:rPr>
          <w:color w:val="000000" w:themeColor="text1"/>
          <w:sz w:val="28"/>
          <w:szCs w:val="28"/>
          <w:highlight w:val="none"/>
          <w:u w:val="single"/>
          <w14:textFill>
            <w14:solidFill>
              <w14:schemeClr w14:val="tx1"/>
            </w14:solidFill>
          </w14:textFill>
        </w:rPr>
        <w:t>8</w:t>
      </w:r>
      <w:r>
        <w:rPr>
          <w:rFonts w:hint="eastAsia"/>
          <w:color w:val="000000" w:themeColor="text1"/>
          <w:sz w:val="28"/>
          <w:szCs w:val="28"/>
          <w:highlight w:val="none"/>
          <w:u w:val="single"/>
          <w14:textFill>
            <w14:solidFill>
              <w14:schemeClr w14:val="tx1"/>
            </w14:solidFill>
          </w14:textFill>
        </w:rPr>
        <w:t>月</w:t>
      </w:r>
      <w:r>
        <w:rPr>
          <w:color w:val="000000" w:themeColor="text1"/>
          <w:sz w:val="28"/>
          <w:szCs w:val="28"/>
          <w:highlight w:val="none"/>
          <w:u w:val="single"/>
          <w14:textFill>
            <w14:solidFill>
              <w14:schemeClr w14:val="tx1"/>
            </w14:solidFill>
          </w14:textFill>
        </w:rPr>
        <w:t>3</w:t>
      </w:r>
      <w:r>
        <w:rPr>
          <w:rFonts w:hint="default"/>
          <w:color w:val="000000" w:themeColor="text1"/>
          <w:sz w:val="28"/>
          <w:szCs w:val="28"/>
          <w:highlight w:val="none"/>
          <w:u w:val="single"/>
          <w:lang w:val="en-US"/>
          <w14:textFill>
            <w14:solidFill>
              <w14:schemeClr w14:val="tx1"/>
            </w14:solidFill>
          </w14:textFill>
        </w:rPr>
        <w:t>1</w:t>
      </w:r>
      <w:r>
        <w:rPr>
          <w:rFonts w:hint="eastAsia"/>
          <w:color w:val="000000" w:themeColor="text1"/>
          <w:sz w:val="28"/>
          <w:szCs w:val="28"/>
          <w:highlight w:val="none"/>
          <w:u w:val="single"/>
          <w14:textFill>
            <w14:solidFill>
              <w14:schemeClr w14:val="tx1"/>
            </w14:solidFill>
          </w14:textFill>
        </w:rPr>
        <w:t>日止。</w:t>
      </w:r>
    </w:p>
    <w:p>
      <w:pPr>
        <w:numPr>
          <w:ilvl w:val="0"/>
          <w:numId w:val="2"/>
        </w:numPr>
        <w:spacing w:line="44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加工费标准：皮棉加工费按公检净重（含烘干）分别结算，即</w:t>
      </w:r>
      <w:r>
        <w:rPr>
          <w:rFonts w:hint="eastAsia"/>
          <w:color w:val="000000" w:themeColor="text1"/>
          <w:sz w:val="28"/>
          <w:szCs w:val="28"/>
          <w:highlight w:val="none"/>
          <w:u w:val="single"/>
          <w14:textFill>
            <w14:solidFill>
              <w14:schemeClr w14:val="tx1"/>
            </w14:solidFill>
          </w14:textFill>
        </w:rPr>
        <w:t>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吨（含2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吨）以内</w:t>
      </w:r>
      <w:r>
        <w:rPr>
          <w:rFonts w:hint="eastAsia"/>
          <w:color w:val="000000" w:themeColor="text1"/>
          <w:sz w:val="28"/>
          <w:szCs w:val="28"/>
          <w:highlight w:val="none"/>
          <w14:textFill>
            <w14:solidFill>
              <w14:schemeClr w14:val="tx1"/>
            </w14:solidFill>
          </w14:textFill>
        </w:rPr>
        <w:t>按照</w:t>
      </w:r>
      <w:r>
        <w:rPr>
          <w:rFonts w:hint="eastAsia"/>
          <w:color w:val="000000" w:themeColor="text1"/>
          <w:sz w:val="28"/>
          <w:szCs w:val="28"/>
          <w:highlight w:val="none"/>
          <w:u w:val="single"/>
          <w14:textFill>
            <w14:solidFill>
              <w14:schemeClr w14:val="tx1"/>
            </w14:solidFill>
          </w14:textFill>
        </w:rPr>
        <w:t xml:space="preserve">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结算加工费；</w:t>
      </w:r>
      <w:r>
        <w:rPr>
          <w:rFonts w:hint="eastAsia"/>
          <w:color w:val="000000" w:themeColor="text1"/>
          <w:sz w:val="28"/>
          <w:szCs w:val="28"/>
          <w:highlight w:val="none"/>
          <w:u w:val="single"/>
          <w14:textFill>
            <w14:solidFill>
              <w14:schemeClr w14:val="tx1"/>
            </w14:solidFill>
          </w14:textFill>
        </w:rPr>
        <w:t>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吨到4</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吨（含4</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吨）部分</w:t>
      </w:r>
      <w:r>
        <w:rPr>
          <w:rFonts w:hint="eastAsia"/>
          <w:color w:val="000000" w:themeColor="text1"/>
          <w:sz w:val="28"/>
          <w:szCs w:val="28"/>
          <w:highlight w:val="none"/>
          <w14:textFill>
            <w14:solidFill>
              <w14:schemeClr w14:val="tx1"/>
            </w14:solidFill>
          </w14:textFill>
        </w:rPr>
        <w:t>按照</w:t>
      </w:r>
      <w:r>
        <w:rPr>
          <w:rFonts w:hint="eastAsia"/>
          <w:color w:val="000000" w:themeColor="text1"/>
          <w:sz w:val="28"/>
          <w:szCs w:val="28"/>
          <w:highlight w:val="none"/>
          <w:u w:val="single"/>
          <w14:textFill>
            <w14:solidFill>
              <w14:schemeClr w14:val="tx1"/>
            </w14:solidFill>
          </w14:textFill>
        </w:rPr>
        <w:t xml:space="preserve">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结算加工费；</w:t>
      </w:r>
      <w:r>
        <w:rPr>
          <w:rFonts w:hint="eastAsia"/>
          <w:color w:val="000000" w:themeColor="text1"/>
          <w:sz w:val="28"/>
          <w:szCs w:val="28"/>
          <w:highlight w:val="none"/>
          <w:u w:val="single"/>
          <w14:textFill>
            <w14:solidFill>
              <w14:schemeClr w14:val="tx1"/>
            </w14:solidFill>
          </w14:textFill>
        </w:rPr>
        <w:t>超过4</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吨部分</w:t>
      </w:r>
      <w:r>
        <w:rPr>
          <w:rFonts w:hint="eastAsia"/>
          <w:color w:val="000000" w:themeColor="text1"/>
          <w:sz w:val="28"/>
          <w:szCs w:val="28"/>
          <w:highlight w:val="none"/>
          <w14:textFill>
            <w14:solidFill>
              <w14:schemeClr w14:val="tx1"/>
            </w14:solidFill>
          </w14:textFill>
        </w:rPr>
        <w:t>按照</w:t>
      </w:r>
      <w:r>
        <w:rPr>
          <w:rFonts w:hint="eastAsia"/>
          <w:color w:val="000000" w:themeColor="text1"/>
          <w:sz w:val="28"/>
          <w:szCs w:val="28"/>
          <w:highlight w:val="none"/>
          <w:u w:val="single"/>
          <w14:textFill>
            <w14:solidFill>
              <w14:schemeClr w14:val="tx1"/>
            </w14:solidFill>
          </w14:textFill>
        </w:rPr>
        <w:t xml:space="preserve">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结算加工费。</w:t>
      </w:r>
    </w:p>
    <w:p>
      <w:pPr>
        <w:spacing w:line="44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3、甲方保证在加工期限内，乙方加工皮棉数量</w:t>
      </w:r>
      <w:r>
        <w:rPr>
          <w:rFonts w:hint="eastAsia"/>
          <w:color w:val="000000" w:themeColor="text1"/>
          <w:sz w:val="28"/>
          <w:szCs w:val="28"/>
          <w:highlight w:val="none"/>
          <w:u w:val="single"/>
          <w14:textFill>
            <w14:solidFill>
              <w14:schemeClr w14:val="tx1"/>
            </w14:solidFill>
          </w14:textFill>
        </w:rPr>
        <w:t>不低于2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14:textFill>
            <w14:solidFill>
              <w14:schemeClr w14:val="tx1"/>
            </w14:solidFill>
          </w14:textFill>
        </w:rPr>
        <w:t>吨，若非因甲方原因导致加工皮棉数量少于2</w:t>
      </w:r>
      <w:r>
        <w:rPr>
          <w:color w:val="000000" w:themeColor="text1"/>
          <w:sz w:val="28"/>
          <w:szCs w:val="28"/>
          <w:highlight w:val="none"/>
          <w14:textFill>
            <w14:solidFill>
              <w14:schemeClr w14:val="tx1"/>
            </w14:solidFill>
          </w14:textFill>
        </w:rPr>
        <w:t>000</w:t>
      </w:r>
      <w:r>
        <w:rPr>
          <w:rFonts w:hint="eastAsia"/>
          <w:color w:val="000000" w:themeColor="text1"/>
          <w:sz w:val="28"/>
          <w:szCs w:val="28"/>
          <w:highlight w:val="none"/>
          <w14:textFill>
            <w14:solidFill>
              <w14:schemeClr w14:val="tx1"/>
            </w14:solidFill>
          </w14:textFill>
        </w:rPr>
        <w:t>吨，按少于2</w:t>
      </w:r>
      <w:r>
        <w:rPr>
          <w:color w:val="000000" w:themeColor="text1"/>
          <w:sz w:val="28"/>
          <w:szCs w:val="28"/>
          <w:highlight w:val="none"/>
          <w14:textFill>
            <w14:solidFill>
              <w14:schemeClr w14:val="tx1"/>
            </w14:solidFill>
          </w14:textFill>
        </w:rPr>
        <w:t>000</w:t>
      </w:r>
      <w:r>
        <w:rPr>
          <w:rFonts w:hint="eastAsia"/>
          <w:color w:val="000000" w:themeColor="text1"/>
          <w:sz w:val="28"/>
          <w:szCs w:val="28"/>
          <w:highlight w:val="none"/>
          <w14:textFill>
            <w14:solidFill>
              <w14:schemeClr w14:val="tx1"/>
            </w14:solidFill>
          </w14:textFill>
        </w:rPr>
        <w:t>吨的差额数量，甲方给予乙方</w:t>
      </w:r>
      <w:r>
        <w:rPr>
          <w:rFonts w:hint="eastAsia"/>
          <w:color w:val="000000" w:themeColor="text1"/>
          <w:sz w:val="28"/>
          <w:szCs w:val="28"/>
          <w:highlight w:val="none"/>
          <w:u w:val="single"/>
          <w14:textFill>
            <w14:solidFill>
              <w14:schemeClr w14:val="tx1"/>
            </w14:solidFill>
          </w14:textFill>
        </w:rPr>
        <w:t>补偿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w:t>
      </w:r>
    </w:p>
    <w:p>
      <w:pPr>
        <w:spacing w:line="440" w:lineRule="exact"/>
        <w:ind w:firstLine="560" w:firstLineChars="200"/>
        <w:rPr>
          <w:sz w:val="28"/>
          <w:szCs w:val="28"/>
          <w:highlight w:val="none"/>
        </w:rPr>
      </w:pPr>
      <w:r>
        <w:rPr>
          <w:rFonts w:hint="eastAsia"/>
          <w:sz w:val="28"/>
          <w:szCs w:val="28"/>
          <w:highlight w:val="none"/>
        </w:rPr>
        <w:t>4、加工费包括：人工工资、人员保险费用、电费、车间检修、液压油、皮带、包</w:t>
      </w:r>
      <w:r>
        <w:rPr>
          <w:rFonts w:hint="eastAsia"/>
          <w:sz w:val="28"/>
          <w:szCs w:val="28"/>
          <w:highlight w:val="none"/>
          <w:lang w:eastAsia="zh-CN"/>
        </w:rPr>
        <w:t>布</w:t>
      </w:r>
      <w:r>
        <w:rPr>
          <w:rFonts w:hint="eastAsia"/>
          <w:sz w:val="28"/>
          <w:szCs w:val="28"/>
          <w:highlight w:val="none"/>
        </w:rPr>
        <w:t>、</w:t>
      </w:r>
      <w:r>
        <w:rPr>
          <w:rFonts w:hint="eastAsia"/>
          <w:sz w:val="28"/>
          <w:szCs w:val="28"/>
          <w:highlight w:val="none"/>
          <w:lang w:eastAsia="zh-CN"/>
        </w:rPr>
        <w:t>塑钢带、</w:t>
      </w:r>
      <w:r>
        <w:rPr>
          <w:rFonts w:hint="eastAsia"/>
          <w:sz w:val="28"/>
          <w:szCs w:val="28"/>
          <w:highlight w:val="none"/>
        </w:rPr>
        <w:t>设备维修及配件、机物料、耗材、税费等直接和间接的所有费用。</w:t>
      </w:r>
    </w:p>
    <w:p>
      <w:pPr>
        <w:spacing w:line="440" w:lineRule="exact"/>
        <w:ind w:firstLine="560" w:firstLineChars="200"/>
        <w:rPr>
          <w:rFonts w:hint="eastAsia" w:eastAsia="宋体"/>
          <w:sz w:val="28"/>
          <w:szCs w:val="28"/>
          <w:highlight w:val="none"/>
          <w:lang w:val="en-US" w:eastAsia="zh-CN"/>
        </w:rPr>
      </w:pPr>
      <w:r>
        <w:rPr>
          <w:rFonts w:hint="eastAsia"/>
          <w:sz w:val="28"/>
          <w:szCs w:val="28"/>
          <w:highlight w:val="none"/>
        </w:rPr>
        <w:t>5、由甲方购买符合质检标准的包布、塑钢带，其费用由乙方承担。加工中产生的电费以当地电力公司收取的电费为准，由乙方承担。</w:t>
      </w:r>
      <w:r>
        <w:rPr>
          <w:rStyle w:val="12"/>
          <w:rFonts w:hint="eastAsia"/>
          <w:sz w:val="28"/>
          <w:szCs w:val="28"/>
          <w:highlight w:val="none"/>
          <w:lang w:eastAsia="zh-CN"/>
        </w:rPr>
        <w:t>包布、塑钢带及电费等由甲方在支付乙方的加工费中扣除。</w:t>
      </w:r>
    </w:p>
    <w:p>
      <w:pPr>
        <w:spacing w:line="440" w:lineRule="exact"/>
        <w:ind w:firstLine="422" w:firstLineChars="150"/>
        <w:rPr>
          <w:b/>
          <w:sz w:val="28"/>
          <w:szCs w:val="28"/>
          <w:highlight w:val="none"/>
        </w:rPr>
      </w:pPr>
      <w:r>
        <w:rPr>
          <w:rFonts w:hint="eastAsia"/>
          <w:b/>
          <w:sz w:val="28"/>
          <w:szCs w:val="28"/>
          <w:highlight w:val="none"/>
        </w:rPr>
        <w:t>二、质量指标和要求</w:t>
      </w:r>
      <w:r>
        <w:rPr>
          <w:b/>
          <w:sz w:val="28"/>
          <w:szCs w:val="28"/>
          <w:highlight w:val="none"/>
        </w:rPr>
        <w:t xml:space="preserve"> </w:t>
      </w:r>
    </w:p>
    <w:p>
      <w:pPr>
        <w:pStyle w:val="3"/>
        <w:spacing w:line="440" w:lineRule="exact"/>
        <w:ind w:firstLine="562" w:firstLineChars="200"/>
        <w:rPr>
          <w:sz w:val="28"/>
          <w:szCs w:val="28"/>
          <w:highlight w:val="none"/>
        </w:rPr>
      </w:pPr>
      <w:r>
        <w:rPr>
          <w:rFonts w:hint="eastAsia"/>
          <w:b/>
          <w:sz w:val="28"/>
          <w:szCs w:val="28"/>
          <w:highlight w:val="none"/>
        </w:rPr>
        <w:t>1、</w:t>
      </w:r>
      <w:r>
        <w:rPr>
          <w:rFonts w:hint="eastAsia"/>
          <w:sz w:val="28"/>
          <w:szCs w:val="28"/>
          <w:highlight w:val="none"/>
        </w:rPr>
        <w:t>皮棉加工质量符合</w:t>
      </w:r>
      <w:r>
        <w:rPr>
          <w:highlight w:val="none"/>
        </w:rPr>
        <w:fldChar w:fldCharType="begin"/>
      </w:r>
      <w:r>
        <w:rPr>
          <w:highlight w:val="none"/>
        </w:rPr>
        <w:instrText xml:space="preserve"> HYPERLINK "http://www.gb688.cn/bzgk/gb/javascript:void(0)" </w:instrText>
      </w:r>
      <w:r>
        <w:rPr>
          <w:highlight w:val="none"/>
        </w:rPr>
        <w:fldChar w:fldCharType="separate"/>
      </w:r>
      <w:r>
        <w:rPr>
          <w:rFonts w:hint="eastAsia"/>
          <w:sz w:val="28"/>
          <w:szCs w:val="28"/>
          <w:highlight w:val="none"/>
        </w:rPr>
        <w:t>GB 1103.1-2012</w:t>
      </w:r>
      <w:r>
        <w:rPr>
          <w:rFonts w:hint="eastAsia"/>
          <w:sz w:val="28"/>
          <w:szCs w:val="28"/>
          <w:highlight w:val="none"/>
        </w:rPr>
        <w:fldChar w:fldCharType="end"/>
      </w:r>
      <w:r>
        <w:rPr>
          <w:rFonts w:hint="eastAsia"/>
          <w:sz w:val="28"/>
          <w:szCs w:val="28"/>
          <w:highlight w:val="none"/>
        </w:rPr>
        <w:t>的规定要求。皮棉加工符合</w:t>
      </w:r>
      <w:r>
        <w:rPr>
          <w:highlight w:val="none"/>
        </w:rPr>
        <w:fldChar w:fldCharType="begin"/>
      </w:r>
      <w:r>
        <w:rPr>
          <w:highlight w:val="none"/>
        </w:rPr>
        <w:instrText xml:space="preserve"> HYPERLINK "http://www.gb688.cn/bzgk/gb/javascript:void(0)" </w:instrText>
      </w:r>
      <w:r>
        <w:rPr>
          <w:highlight w:val="none"/>
        </w:rPr>
        <w:fldChar w:fldCharType="separate"/>
      </w:r>
      <w:r>
        <w:rPr>
          <w:rFonts w:hint="eastAsia"/>
          <w:sz w:val="28"/>
          <w:szCs w:val="28"/>
          <w:highlight w:val="none"/>
        </w:rPr>
        <w:t>GB/T 22335-2018</w:t>
      </w:r>
      <w:r>
        <w:rPr>
          <w:rFonts w:hint="eastAsia"/>
          <w:sz w:val="28"/>
          <w:szCs w:val="28"/>
          <w:highlight w:val="none"/>
        </w:rPr>
        <w:fldChar w:fldCharType="end"/>
      </w:r>
      <w:r>
        <w:rPr>
          <w:rFonts w:hint="eastAsia"/>
          <w:sz w:val="28"/>
          <w:szCs w:val="28"/>
          <w:highlight w:val="none"/>
        </w:rPr>
        <w:t>的规范要求。皮棉包装符合GB6975-2013的规定要求 。</w:t>
      </w:r>
    </w:p>
    <w:p>
      <w:pPr>
        <w:pStyle w:val="3"/>
        <w:spacing w:line="440" w:lineRule="exact"/>
        <w:ind w:firstLine="560" w:firstLineChars="200"/>
        <w:rPr>
          <w:sz w:val="28"/>
          <w:szCs w:val="28"/>
          <w:highlight w:val="none"/>
        </w:rPr>
      </w:pPr>
      <w:r>
        <w:rPr>
          <w:rFonts w:hint="eastAsia"/>
          <w:sz w:val="28"/>
          <w:szCs w:val="28"/>
          <w:highlight w:val="none"/>
        </w:rPr>
        <w:t>2、甲方提供的籽棉，在加工前等级要明确，甲方相同等级的籽棉乙方必须加工出相同等级的皮棉，加工出的皮棉公检平均含杂率不超过2.5%，单批含杂率不超过2.6%。</w:t>
      </w:r>
    </w:p>
    <w:p>
      <w:pPr>
        <w:spacing w:line="440" w:lineRule="exact"/>
        <w:ind w:firstLine="560" w:firstLineChars="200"/>
        <w:rPr>
          <w:sz w:val="28"/>
          <w:szCs w:val="28"/>
          <w:highlight w:val="none"/>
        </w:rPr>
      </w:pPr>
      <w:r>
        <w:rPr>
          <w:rFonts w:hint="eastAsia"/>
          <w:sz w:val="28"/>
          <w:szCs w:val="28"/>
          <w:highlight w:val="none"/>
        </w:rPr>
        <w:t>3、乙方必须按照</w:t>
      </w:r>
      <w:r>
        <w:rPr>
          <w:rFonts w:hint="eastAsia"/>
          <w:color w:val="000000" w:themeColor="text1"/>
          <w:sz w:val="28"/>
          <w:szCs w:val="28"/>
          <w:highlight w:val="none"/>
          <w14:textFill>
            <w14:solidFill>
              <w14:schemeClr w14:val="tx1"/>
            </w14:solidFill>
          </w14:textFill>
        </w:rPr>
        <w:t>国家</w:t>
      </w:r>
      <w:r>
        <w:rPr>
          <w:rFonts w:hint="eastAsia"/>
          <w:sz w:val="28"/>
          <w:szCs w:val="28"/>
          <w:highlight w:val="none"/>
        </w:rPr>
        <w:t>规定进行包装，皮棉不露白，堆放整齐，实际包重与刷唛重量相符。</w:t>
      </w:r>
    </w:p>
    <w:p>
      <w:pPr>
        <w:spacing w:line="440" w:lineRule="exact"/>
        <w:ind w:firstLine="560" w:firstLineChars="200"/>
        <w:rPr>
          <w:sz w:val="28"/>
          <w:szCs w:val="28"/>
          <w:highlight w:val="none"/>
        </w:rPr>
      </w:pPr>
      <w:r>
        <w:rPr>
          <w:rFonts w:hint="eastAsia"/>
          <w:sz w:val="28"/>
          <w:szCs w:val="28"/>
          <w:highlight w:val="none"/>
        </w:rPr>
        <w:t>4、甲方派人跟班检验，如发现乙方加工质量有问题，及时书面通知乙方，甲方有权责令乙方停机，乙方找出原因整改后方可恢复生产。</w:t>
      </w:r>
    </w:p>
    <w:p>
      <w:pPr>
        <w:spacing w:line="440" w:lineRule="exact"/>
        <w:ind w:firstLine="562" w:firstLineChars="200"/>
        <w:rPr>
          <w:b/>
          <w:sz w:val="28"/>
          <w:szCs w:val="28"/>
          <w:highlight w:val="none"/>
        </w:rPr>
      </w:pPr>
      <w:r>
        <w:rPr>
          <w:rFonts w:hint="eastAsia"/>
          <w:b/>
          <w:sz w:val="28"/>
          <w:szCs w:val="28"/>
          <w:highlight w:val="none"/>
        </w:rPr>
        <w:t>三、生产、安全、技术管理责任</w:t>
      </w:r>
    </w:p>
    <w:p>
      <w:pPr>
        <w:spacing w:line="440" w:lineRule="exact"/>
        <w:ind w:firstLine="560" w:firstLineChars="200"/>
        <w:rPr>
          <w:sz w:val="28"/>
          <w:szCs w:val="28"/>
          <w:highlight w:val="none"/>
        </w:rPr>
      </w:pPr>
      <w:r>
        <w:rPr>
          <w:sz w:val="28"/>
          <w:szCs w:val="28"/>
          <w:highlight w:val="none"/>
        </w:rPr>
        <w:t>1</w:t>
      </w:r>
      <w:r>
        <w:rPr>
          <w:rFonts w:hint="eastAsia"/>
          <w:sz w:val="28"/>
          <w:szCs w:val="28"/>
          <w:highlight w:val="none"/>
        </w:rPr>
        <w:t>、乙方必须在</w:t>
      </w:r>
      <w:r>
        <w:rPr>
          <w:rFonts w:hint="eastAsia"/>
          <w:sz w:val="28"/>
          <w:szCs w:val="28"/>
          <w:highlight w:val="none"/>
          <w:u w:val="single"/>
        </w:rPr>
        <w:t>2023年10月10日</w:t>
      </w:r>
      <w:r>
        <w:rPr>
          <w:rFonts w:hint="eastAsia"/>
          <w:sz w:val="28"/>
          <w:szCs w:val="28"/>
          <w:highlight w:val="none"/>
        </w:rPr>
        <w:t>之前组织技工、电工对车间加工设备及电器设施完成检修，并且对挡车工、打包工、喂花工等加工人员进行岗前培训，确保皮棉加工质量</w:t>
      </w:r>
      <w:r>
        <w:rPr>
          <w:rFonts w:hint="eastAsia"/>
          <w:color w:val="000000" w:themeColor="text1"/>
          <w:sz w:val="28"/>
          <w:szCs w:val="28"/>
          <w:highlight w:val="none"/>
          <w14:textFill>
            <w14:solidFill>
              <w14:schemeClr w14:val="tx1"/>
            </w14:solidFill>
          </w14:textFill>
        </w:rPr>
        <w:t>，确保</w:t>
      </w:r>
      <w:r>
        <w:rPr>
          <w:rFonts w:hint="eastAsia"/>
          <w:sz w:val="28"/>
          <w:szCs w:val="28"/>
          <w:highlight w:val="none"/>
        </w:rPr>
        <w:t>安全生产。</w:t>
      </w:r>
    </w:p>
    <w:p>
      <w:pPr>
        <w:spacing w:line="440" w:lineRule="exact"/>
        <w:ind w:firstLine="560" w:firstLineChars="200"/>
        <w:rPr>
          <w:sz w:val="28"/>
          <w:szCs w:val="28"/>
          <w:highlight w:val="none"/>
        </w:rPr>
      </w:pPr>
      <w:r>
        <w:rPr>
          <w:rFonts w:hint="eastAsia"/>
          <w:sz w:val="28"/>
          <w:szCs w:val="28"/>
          <w:highlight w:val="none"/>
        </w:rPr>
        <w:t>2、乙方必须按皮棉加工生产的各项规定、技术要求实行有效的管理，使加工出的皮棉各项技术指标达到国家标准、</w:t>
      </w:r>
      <w:r>
        <w:rPr>
          <w:rFonts w:hint="eastAsia"/>
          <w:color w:val="000000" w:themeColor="text1"/>
          <w:sz w:val="28"/>
          <w:szCs w:val="28"/>
          <w:highlight w:val="none"/>
          <w14:textFill>
            <w14:solidFill>
              <w14:schemeClr w14:val="tx1"/>
            </w14:solidFill>
          </w14:textFill>
        </w:rPr>
        <w:t>协议约定</w:t>
      </w:r>
      <w:r>
        <w:rPr>
          <w:rFonts w:hint="eastAsia"/>
          <w:sz w:val="28"/>
          <w:szCs w:val="28"/>
          <w:highlight w:val="none"/>
        </w:rPr>
        <w:t>。为保证皮棉的等级无误，在加工过程中，甲方对籽棉分品种单独堆放，乙方必须按甲方的</w:t>
      </w:r>
      <w:r>
        <w:rPr>
          <w:rFonts w:hint="eastAsia"/>
          <w:color w:val="000000" w:themeColor="text1"/>
          <w:sz w:val="28"/>
          <w:szCs w:val="28"/>
          <w:highlight w:val="none"/>
          <w14:textFill>
            <w14:solidFill>
              <w14:schemeClr w14:val="tx1"/>
            </w14:solidFill>
          </w14:textFill>
        </w:rPr>
        <w:t>要求</w:t>
      </w:r>
      <w:r>
        <w:rPr>
          <w:rFonts w:hint="eastAsia"/>
          <w:sz w:val="28"/>
          <w:szCs w:val="28"/>
          <w:highlight w:val="none"/>
        </w:rPr>
        <w:t>对籽棉进行分等级、分品种加工。</w:t>
      </w:r>
    </w:p>
    <w:p>
      <w:pPr>
        <w:pStyle w:val="3"/>
        <w:spacing w:line="440" w:lineRule="exact"/>
        <w:rPr>
          <w:sz w:val="28"/>
          <w:szCs w:val="28"/>
          <w:highlight w:val="none"/>
        </w:rPr>
      </w:pPr>
      <w:r>
        <w:rPr>
          <w:sz w:val="28"/>
          <w:szCs w:val="28"/>
          <w:highlight w:val="none"/>
        </w:rPr>
        <w:t xml:space="preserve"> </w:t>
      </w:r>
      <w:r>
        <w:rPr>
          <w:rFonts w:hint="eastAsia"/>
          <w:sz w:val="28"/>
          <w:szCs w:val="28"/>
          <w:highlight w:val="none"/>
        </w:rPr>
        <w:t xml:space="preserve">   3</w:t>
      </w:r>
      <w:r>
        <w:rPr>
          <w:sz w:val="28"/>
          <w:szCs w:val="28"/>
          <w:highlight w:val="none"/>
        </w:rPr>
        <w:t xml:space="preserve"> </w:t>
      </w:r>
      <w:r>
        <w:rPr>
          <w:rFonts w:hint="eastAsia"/>
          <w:sz w:val="28"/>
          <w:szCs w:val="28"/>
          <w:highlight w:val="none"/>
        </w:rPr>
        <w:t>、乙方及其加工团队人员必须遵守甲方规章制度，遵守消防、防火管理条例，一旦发生火灾，应全体无条件的积极灭火。</w:t>
      </w:r>
    </w:p>
    <w:p>
      <w:pPr>
        <w:pStyle w:val="3"/>
        <w:spacing w:line="440" w:lineRule="exact"/>
        <w:ind w:firstLine="560" w:firstLineChars="200"/>
        <w:rPr>
          <w:sz w:val="28"/>
          <w:szCs w:val="28"/>
          <w:highlight w:val="none"/>
        </w:rPr>
      </w:pPr>
      <w:r>
        <w:rPr>
          <w:rFonts w:hint="eastAsia"/>
          <w:sz w:val="28"/>
          <w:szCs w:val="28"/>
          <w:highlight w:val="none"/>
        </w:rPr>
        <w:t>4、乙方必须服从甲方的统一指导，对于加工工人的违规行为甲方有权监督处罚</w:t>
      </w:r>
      <w:r>
        <w:rPr>
          <w:rFonts w:hint="eastAsia"/>
          <w:color w:val="000000" w:themeColor="text1"/>
          <w:sz w:val="28"/>
          <w:szCs w:val="28"/>
          <w:highlight w:val="none"/>
          <w14:textFill>
            <w14:solidFill>
              <w14:schemeClr w14:val="tx1"/>
            </w14:solidFill>
          </w14:textFill>
        </w:rPr>
        <w:t>乙方，乙方必须保证加工队伍的稳定和加工人员的整体素质。</w:t>
      </w:r>
    </w:p>
    <w:p>
      <w:pPr>
        <w:spacing w:line="440" w:lineRule="exact"/>
        <w:ind w:firstLine="560" w:firstLineChars="200"/>
        <w:rPr>
          <w:sz w:val="28"/>
          <w:szCs w:val="28"/>
          <w:highlight w:val="none"/>
        </w:rPr>
      </w:pPr>
      <w:r>
        <w:rPr>
          <w:rFonts w:hint="eastAsia"/>
          <w:sz w:val="28"/>
          <w:szCs w:val="28"/>
          <w:highlight w:val="none"/>
        </w:rPr>
        <w:t>5、乙方按时向加工团队人员发放费用，不得拖欠。乙方应为工人购买保险，出现任何人身意外伤害事故均与甲方无关，乙方承担由此产生一切责任及其费用。</w:t>
      </w:r>
      <w:r>
        <w:rPr>
          <w:rFonts w:hint="eastAsia"/>
          <w:color w:val="000000" w:themeColor="text1"/>
          <w:sz w:val="28"/>
          <w:szCs w:val="28"/>
          <w:highlight w:val="none"/>
          <w14:textFill>
            <w14:solidFill>
              <w14:schemeClr w14:val="tx1"/>
            </w14:solidFill>
          </w14:textFill>
        </w:rPr>
        <w:t>若甲方因此承担责任的，有权向乙方追偿。</w:t>
      </w:r>
    </w:p>
    <w:p>
      <w:pPr>
        <w:spacing w:line="440" w:lineRule="exact"/>
        <w:ind w:firstLine="560" w:firstLineChars="200"/>
        <w:rPr>
          <w:sz w:val="28"/>
          <w:szCs w:val="28"/>
          <w:highlight w:val="none"/>
        </w:rPr>
      </w:pPr>
      <w:r>
        <w:rPr>
          <w:rFonts w:hint="eastAsia"/>
          <w:sz w:val="28"/>
          <w:szCs w:val="28"/>
          <w:highlight w:val="none"/>
        </w:rPr>
        <w:t>6、乙方在生产期间，</w:t>
      </w:r>
      <w:r>
        <w:rPr>
          <w:rFonts w:hint="eastAsia"/>
          <w:color w:val="000000" w:themeColor="text1"/>
          <w:sz w:val="28"/>
          <w:szCs w:val="28"/>
          <w:highlight w:val="none"/>
          <w14:textFill>
            <w14:solidFill>
              <w14:schemeClr w14:val="tx1"/>
            </w14:solidFill>
          </w14:textFill>
        </w:rPr>
        <w:t>若车间发生火灾，加工设备及其电器等发生损坏，由</w:t>
      </w:r>
      <w:r>
        <w:rPr>
          <w:rFonts w:hint="eastAsia"/>
          <w:sz w:val="28"/>
          <w:szCs w:val="28"/>
          <w:highlight w:val="none"/>
        </w:rPr>
        <w:t>乙方承担所有赔偿责任。若由此给甲方造成其他损失的，乙方承担赔偿责任。</w:t>
      </w:r>
    </w:p>
    <w:p>
      <w:pPr>
        <w:spacing w:line="440" w:lineRule="exact"/>
        <w:ind w:firstLine="560" w:firstLineChars="200"/>
        <w:rPr>
          <w:sz w:val="28"/>
          <w:szCs w:val="28"/>
          <w:highlight w:val="none"/>
        </w:rPr>
      </w:pPr>
      <w:r>
        <w:rPr>
          <w:rFonts w:hint="eastAsia"/>
          <w:sz w:val="28"/>
          <w:szCs w:val="28"/>
          <w:highlight w:val="none"/>
        </w:rPr>
        <w:t>7、在加工期间，甲方为乙方及其加工团队人员提供住宿房间，乙方负责其加工团队人员的食宿，定期打扫、清理生活垃圾，保证住房、厨房以及公共卫生间的清洁卫生。</w:t>
      </w:r>
    </w:p>
    <w:p>
      <w:pPr>
        <w:spacing w:line="440" w:lineRule="exact"/>
        <w:ind w:firstLine="562" w:firstLineChars="200"/>
        <w:rPr>
          <w:b/>
          <w:sz w:val="28"/>
          <w:szCs w:val="28"/>
          <w:highlight w:val="none"/>
        </w:rPr>
      </w:pPr>
      <w:r>
        <w:rPr>
          <w:rFonts w:hint="eastAsia"/>
          <w:b/>
          <w:sz w:val="28"/>
          <w:szCs w:val="28"/>
          <w:highlight w:val="none"/>
        </w:rPr>
        <w:t>四、付款方式</w:t>
      </w:r>
    </w:p>
    <w:p>
      <w:pPr>
        <w:spacing w:line="440" w:lineRule="exact"/>
        <w:ind w:firstLine="560" w:firstLineChars="200"/>
        <w:rPr>
          <w:sz w:val="28"/>
          <w:szCs w:val="28"/>
          <w:highlight w:val="none"/>
        </w:rPr>
      </w:pPr>
      <w:r>
        <w:rPr>
          <w:rFonts w:hint="eastAsia"/>
          <w:sz w:val="28"/>
          <w:szCs w:val="28"/>
          <w:highlight w:val="none"/>
        </w:rPr>
        <w:t>甲方应在每月</w:t>
      </w:r>
      <w:r>
        <w:rPr>
          <w:sz w:val="28"/>
          <w:szCs w:val="28"/>
          <w:highlight w:val="none"/>
        </w:rPr>
        <w:t>30</w:t>
      </w:r>
      <w:r>
        <w:rPr>
          <w:rFonts w:hint="eastAsia"/>
          <w:sz w:val="28"/>
          <w:szCs w:val="28"/>
          <w:highlight w:val="none"/>
        </w:rPr>
        <w:t>日之前，扣除甲方为乙方垫付的费用之后，给乙方结算当月加工费的60%，乙方凭等额加工费发票领取。如发生火灾、人员伤亡、生产设备损坏等，甲方可选择暂缓支付乙方加工费或者降低支付乙方加工费比例。加工结束后，甲方扣除为乙方垫付的所有费用之后，乙方凭等额</w:t>
      </w:r>
      <w:r>
        <w:rPr>
          <w:rFonts w:hint="eastAsia"/>
          <w:color w:val="000000" w:themeColor="text1"/>
          <w:sz w:val="28"/>
          <w:szCs w:val="28"/>
          <w:highlight w:val="none"/>
          <w14:textFill>
            <w14:solidFill>
              <w14:schemeClr w14:val="tx1"/>
            </w14:solidFill>
          </w14:textFill>
        </w:rPr>
        <w:t>加工费</w:t>
      </w:r>
      <w:r>
        <w:rPr>
          <w:rFonts w:hint="eastAsia"/>
          <w:sz w:val="28"/>
          <w:szCs w:val="28"/>
          <w:highlight w:val="none"/>
        </w:rPr>
        <w:t>发票进行最后结算。</w:t>
      </w:r>
    </w:p>
    <w:p>
      <w:pPr>
        <w:spacing w:line="440" w:lineRule="exact"/>
        <w:ind w:firstLine="557" w:firstLineChars="198"/>
        <w:rPr>
          <w:b/>
          <w:sz w:val="28"/>
          <w:szCs w:val="28"/>
          <w:highlight w:val="none"/>
        </w:rPr>
      </w:pPr>
      <w:r>
        <w:rPr>
          <w:rFonts w:hint="eastAsia"/>
          <w:b/>
          <w:sz w:val="28"/>
          <w:szCs w:val="28"/>
          <w:highlight w:val="none"/>
        </w:rPr>
        <w:t>五、违约责任</w:t>
      </w:r>
    </w:p>
    <w:p>
      <w:pPr>
        <w:pStyle w:val="3"/>
        <w:spacing w:line="440" w:lineRule="exact"/>
        <w:ind w:firstLine="560" w:firstLineChars="200"/>
        <w:rPr>
          <w:sz w:val="28"/>
          <w:szCs w:val="28"/>
          <w:highlight w:val="none"/>
        </w:rPr>
      </w:pPr>
      <w:r>
        <w:rPr>
          <w:rFonts w:hint="eastAsia"/>
          <w:sz w:val="28"/>
          <w:szCs w:val="28"/>
          <w:highlight w:val="none"/>
        </w:rPr>
        <w:t>1、若乙方加工出的皮棉单个批次公检含杂率：在2.7%-3.4%之间的，甲方按10元/吨扣除乙方的加工费；大于3.5%（含3.5%）的，甲方按</w:t>
      </w:r>
      <w:r>
        <w:rPr>
          <w:sz w:val="28"/>
          <w:szCs w:val="28"/>
          <w:highlight w:val="none"/>
        </w:rPr>
        <w:t>5</w:t>
      </w:r>
      <w:r>
        <w:rPr>
          <w:rFonts w:hint="eastAsia"/>
          <w:sz w:val="28"/>
          <w:szCs w:val="28"/>
          <w:highlight w:val="none"/>
        </w:rPr>
        <w:t>0元/吨扣除乙方的加工费。</w:t>
      </w:r>
    </w:p>
    <w:p>
      <w:pPr>
        <w:spacing w:line="440" w:lineRule="exact"/>
        <w:ind w:firstLine="560" w:firstLineChars="200"/>
        <w:rPr>
          <w:rFonts w:asciiTheme="minorEastAsia" w:hAnsiTheme="minorEastAsia" w:eastAsiaTheme="minorEastAsia"/>
          <w:sz w:val="28"/>
          <w:szCs w:val="28"/>
          <w:highlight w:val="none"/>
        </w:rPr>
      </w:pPr>
      <w:r>
        <w:rPr>
          <w:rFonts w:hint="eastAsia"/>
          <w:sz w:val="28"/>
          <w:szCs w:val="28"/>
          <w:highlight w:val="none"/>
        </w:rPr>
        <w:t>2、乙方应确保皮棉加工质量，如因质量问题被甲方连续三次责令停</w:t>
      </w:r>
      <w:r>
        <w:rPr>
          <w:rFonts w:hint="eastAsia" w:asciiTheme="minorEastAsia" w:hAnsiTheme="minorEastAsia" w:eastAsiaTheme="minorEastAsia"/>
          <w:sz w:val="28"/>
          <w:szCs w:val="28"/>
          <w:highlight w:val="none"/>
        </w:rPr>
        <w:t>机还无法解决的，甲方有权无责中途解除合同，同时向乙方追究责任，由乙方向甲方赔偿相应损失并支付</w:t>
      </w:r>
      <w:r>
        <w:rPr>
          <w:rFonts w:hint="eastAsia" w:asciiTheme="minorEastAsia" w:hAnsiTheme="minorEastAsia" w:eastAsiaTheme="minorEastAsia"/>
          <w:color w:val="000000" w:themeColor="text1"/>
          <w:sz w:val="28"/>
          <w:szCs w:val="28"/>
          <w:highlight w:val="none"/>
          <w14:textFill>
            <w14:solidFill>
              <w14:schemeClr w14:val="tx1"/>
            </w14:solidFill>
          </w14:textFill>
        </w:rPr>
        <w:t>违约金20万元。</w:t>
      </w:r>
    </w:p>
    <w:p>
      <w:pPr>
        <w:spacing w:line="440" w:lineRule="exact"/>
        <w:ind w:firstLine="700" w:firstLineChars="25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3、乙方承担赔偿责任的，赔偿额包括但不限于甲方籽棉货款、皮棉货款、甲方生产设备及电器款项、违约金等及其因此发生的诉讼费、律师费、差旅费、保全费、保全担保费、鉴定费等。</w:t>
      </w:r>
    </w:p>
    <w:p>
      <w:pPr>
        <w:numPr>
          <w:ilvl w:val="0"/>
          <w:numId w:val="3"/>
        </w:numPr>
        <w:spacing w:line="44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其他</w:t>
      </w:r>
    </w:p>
    <w:p>
      <w:pPr>
        <w:spacing w:line="44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1、本协议生效后5日内，乙方开始组织技术人员进行检修，甲方监督乙方检修。加工结束后，乙方确保机器设备完好并能正常运转。</w:t>
      </w:r>
    </w:p>
    <w:p>
      <w:pPr>
        <w:spacing w:line="44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2、本协议一式贰份，甲乙双方各执壹份，合同自双方盖章之日起生效。</w:t>
      </w:r>
    </w:p>
    <w:p>
      <w:pPr>
        <w:spacing w:line="440" w:lineRule="exact"/>
        <w:ind w:firstLine="560" w:firstLineChars="200"/>
        <w:rPr>
          <w:highlight w:val="none"/>
        </w:rPr>
      </w:pPr>
      <w:r>
        <w:rPr>
          <w:rFonts w:hint="eastAsia" w:asciiTheme="minorEastAsia" w:hAnsiTheme="minorEastAsia" w:eastAsiaTheme="minorEastAsia"/>
          <w:sz w:val="28"/>
          <w:szCs w:val="28"/>
          <w:highlight w:val="none"/>
        </w:rPr>
        <w:t>3、因本协议发生的一切争议应协商解决，协商不成的，提交协议签订地所在人民法院诉讼解决</w:t>
      </w:r>
      <w:r>
        <w:rPr>
          <w:rFonts w:hint="eastAsia"/>
          <w:highlight w:val="none"/>
        </w:rPr>
        <w:t>。</w:t>
      </w:r>
    </w:p>
    <w:p>
      <w:pPr>
        <w:spacing w:line="440" w:lineRule="exact"/>
        <w:ind w:firstLine="560" w:firstLineChars="200"/>
        <w:rPr>
          <w:rFonts w:asciiTheme="minorEastAsia" w:hAnsiTheme="minorEastAsia" w:eastAsiaTheme="minorEastAsia"/>
          <w:sz w:val="28"/>
          <w:szCs w:val="28"/>
          <w:highlight w:val="none"/>
        </w:rPr>
      </w:pPr>
      <w:r>
        <w:rPr>
          <w:sz w:val="28"/>
          <w:szCs w:val="28"/>
          <w:highlight w:val="none"/>
        </w:rPr>
        <w:t>4</w:t>
      </w:r>
      <w:r>
        <w:rPr>
          <w:rFonts w:hint="eastAsia"/>
          <w:sz w:val="28"/>
          <w:szCs w:val="28"/>
          <w:highlight w:val="none"/>
        </w:rPr>
        <w:t>、</w:t>
      </w:r>
      <w:r>
        <w:rPr>
          <w:rFonts w:hint="eastAsia" w:asciiTheme="minorEastAsia" w:hAnsiTheme="minorEastAsia" w:eastAsiaTheme="minorEastAsia"/>
          <w:sz w:val="28"/>
          <w:szCs w:val="28"/>
          <w:highlight w:val="none"/>
        </w:rPr>
        <w:t>本合同尾页签章处所列双方地址视为双方的准确联系地址和司法送达地址，一方进行文件通知送达、法院进行司法送达时均可直接邮寄送达。按本合同尾页处所列双方地址送达的，视为当事人签收；受送达人拒收的，不影响送达的效力。双方当事人如需变更约定送达地址，应将变更后的送达地址及时书面通知到对方当事人；未按约定方式变更的，原约定送达地址仍为有效送达地址。</w:t>
      </w:r>
    </w:p>
    <w:p>
      <w:pPr>
        <w:spacing w:line="440" w:lineRule="exact"/>
        <w:ind w:firstLine="3680" w:firstLineChars="1150"/>
        <w:rPr>
          <w:sz w:val="32"/>
          <w:szCs w:val="32"/>
          <w:highlight w:val="none"/>
        </w:rPr>
      </w:pPr>
      <w:r>
        <w:rPr>
          <w:rFonts w:hint="eastAsia"/>
          <w:sz w:val="32"/>
          <w:szCs w:val="32"/>
          <w:highlight w:val="none"/>
        </w:rPr>
        <w:t>（以下无正文）</w:t>
      </w:r>
    </w:p>
    <w:p>
      <w:pPr>
        <w:spacing w:line="440" w:lineRule="exact"/>
        <w:ind w:left="5320" w:hanging="5320" w:hangingChars="1900"/>
        <w:rPr>
          <w:sz w:val="28"/>
          <w:szCs w:val="28"/>
          <w:highlight w:val="none"/>
        </w:rPr>
      </w:pPr>
      <w:r>
        <w:rPr>
          <w:rFonts w:hint="eastAsia"/>
          <w:sz w:val="28"/>
          <w:szCs w:val="28"/>
          <w:highlight w:val="none"/>
        </w:rPr>
        <w:t>甲方：阿克苏渝棉农业有限公司</w:t>
      </w:r>
      <w:r>
        <w:rPr>
          <w:sz w:val="28"/>
          <w:szCs w:val="28"/>
          <w:highlight w:val="none"/>
        </w:rPr>
        <w:t xml:space="preserve">    </w:t>
      </w:r>
      <w:r>
        <w:rPr>
          <w:rFonts w:hint="eastAsia"/>
          <w:sz w:val="28"/>
          <w:szCs w:val="28"/>
          <w:highlight w:val="none"/>
        </w:rPr>
        <w:t>乙方：</w:t>
      </w:r>
    </w:p>
    <w:p>
      <w:pPr>
        <w:spacing w:line="440" w:lineRule="exact"/>
        <w:rPr>
          <w:sz w:val="28"/>
          <w:szCs w:val="28"/>
          <w:highlight w:val="none"/>
        </w:rPr>
      </w:pPr>
      <w:r>
        <w:rPr>
          <w:rFonts w:hint="eastAsia"/>
          <w:sz w:val="28"/>
          <w:szCs w:val="28"/>
          <w:highlight w:val="none"/>
        </w:rPr>
        <w:t>法定代表人：</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法定代表人：</w:t>
      </w:r>
    </w:p>
    <w:p>
      <w:pPr>
        <w:spacing w:line="440" w:lineRule="exact"/>
        <w:rPr>
          <w:sz w:val="28"/>
          <w:szCs w:val="28"/>
          <w:highlight w:val="none"/>
        </w:rPr>
      </w:pPr>
      <w:r>
        <w:rPr>
          <w:rFonts w:hint="eastAsia"/>
          <w:sz w:val="28"/>
          <w:szCs w:val="28"/>
          <w:highlight w:val="none"/>
        </w:rPr>
        <w:t>委托代理人：</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委托代理人：</w:t>
      </w:r>
    </w:p>
    <w:p>
      <w:pPr>
        <w:spacing w:line="440" w:lineRule="exact"/>
        <w:rPr>
          <w:sz w:val="28"/>
          <w:szCs w:val="28"/>
          <w:highlight w:val="none"/>
        </w:rPr>
      </w:pPr>
      <w:r>
        <w:rPr>
          <w:rFonts w:hint="eastAsia"/>
          <w:sz w:val="28"/>
          <w:szCs w:val="28"/>
          <w:highlight w:val="none"/>
        </w:rPr>
        <w:t>地址：                          地址：</w:t>
      </w:r>
    </w:p>
    <w:p>
      <w:pPr>
        <w:spacing w:line="440" w:lineRule="exact"/>
        <w:rPr>
          <w:sz w:val="28"/>
          <w:szCs w:val="28"/>
          <w:highlight w:val="none"/>
        </w:rPr>
      </w:pPr>
      <w:r>
        <w:rPr>
          <w:rFonts w:hint="eastAsia"/>
          <w:sz w:val="28"/>
          <w:szCs w:val="28"/>
          <w:highlight w:val="none"/>
        </w:rPr>
        <w:t>联系方式：                      联系方式：</w:t>
      </w:r>
    </w:p>
    <w:sectPr>
      <w:headerReference r:id="rId3" w:type="default"/>
      <w:footerReference r:id="rId4" w:type="default"/>
      <w:footerReference r:id="rId5" w:type="even"/>
      <w:pgSz w:w="11906" w:h="16838"/>
      <w:pgMar w:top="1440" w:right="1418" w:bottom="1134" w:left="1588" w:header="851" w:footer="992" w:gutter="0"/>
      <w:pgNumType w:fmt="numberInDash"/>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第</w:t>
                          </w:r>
                          <w:r>
                            <w:t xml:space="preserve"> </w:t>
                          </w:r>
                          <w:r>
                            <w:fldChar w:fldCharType="begin"/>
                          </w:r>
                          <w:r>
                            <w:instrText xml:space="preserve"> PAGE  \* MERGEFORMAT </w:instrText>
                          </w:r>
                          <w:r>
                            <w:fldChar w:fldCharType="separate"/>
                          </w:r>
                          <w:r>
                            <w:t>- 4 -</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w:t>
                          </w:r>
                          <w:r>
                            <w:fldChar w:fldCharType="end"/>
                          </w:r>
                          <w: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pPr>
                    <w:r>
                      <w:rPr>
                        <w:rFonts w:hint="eastAsia"/>
                      </w:rPr>
                      <w:t>第</w:t>
                    </w:r>
                    <w:r>
                      <w:t xml:space="preserve"> </w:t>
                    </w:r>
                    <w:r>
                      <w:fldChar w:fldCharType="begin"/>
                    </w:r>
                    <w:r>
                      <w:instrText xml:space="preserve"> PAGE  \* MERGEFORMAT </w:instrText>
                    </w:r>
                    <w:r>
                      <w:fldChar w:fldCharType="separate"/>
                    </w:r>
                    <w:r>
                      <w:t>- 4 -</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w:t>
                    </w:r>
                    <w:r>
                      <w:fldChar w:fldCharType="end"/>
                    </w:r>
                    <w:r>
                      <w:t xml:space="preserve"> </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D3488"/>
    <w:multiLevelType w:val="singleLevel"/>
    <w:tmpl w:val="C6AD3488"/>
    <w:lvl w:ilvl="0" w:tentative="0">
      <w:start w:val="1"/>
      <w:numFmt w:val="decimal"/>
      <w:suff w:val="nothing"/>
      <w:lvlText w:val="%1、"/>
      <w:lvlJc w:val="left"/>
    </w:lvl>
  </w:abstractNum>
  <w:abstractNum w:abstractNumId="1">
    <w:nsid w:val="55CD6A88"/>
    <w:multiLevelType w:val="multilevel"/>
    <w:tmpl w:val="55CD6A88"/>
    <w:lvl w:ilvl="0" w:tentative="0">
      <w:start w:val="1"/>
      <w:numFmt w:val="japaneseCounting"/>
      <w:lvlText w:val="%1、"/>
      <w:lvlJc w:val="left"/>
      <w:pPr>
        <w:tabs>
          <w:tab w:val="left" w:pos="1320"/>
        </w:tabs>
        <w:ind w:left="1320" w:hanging="72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7CC77EF6"/>
    <w:multiLevelType w:val="singleLevel"/>
    <w:tmpl w:val="7CC77EF6"/>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zZTRjMjIwMWM0ZGNkYzRhMWViNmZhMTRmODkyOWIifQ=="/>
  </w:docVars>
  <w:rsids>
    <w:rsidRoot w:val="2F866410"/>
    <w:rsid w:val="000154E1"/>
    <w:rsid w:val="000E2B08"/>
    <w:rsid w:val="000F05F0"/>
    <w:rsid w:val="001C3500"/>
    <w:rsid w:val="00267B14"/>
    <w:rsid w:val="002B7434"/>
    <w:rsid w:val="002E31B1"/>
    <w:rsid w:val="002F2A26"/>
    <w:rsid w:val="0034787C"/>
    <w:rsid w:val="00376248"/>
    <w:rsid w:val="00394BD5"/>
    <w:rsid w:val="004947C8"/>
    <w:rsid w:val="004E44F2"/>
    <w:rsid w:val="00552B0E"/>
    <w:rsid w:val="00587FF7"/>
    <w:rsid w:val="005C3A1F"/>
    <w:rsid w:val="00644C87"/>
    <w:rsid w:val="006A58F4"/>
    <w:rsid w:val="00731C7D"/>
    <w:rsid w:val="00780C06"/>
    <w:rsid w:val="0079548F"/>
    <w:rsid w:val="007A3317"/>
    <w:rsid w:val="007B3086"/>
    <w:rsid w:val="00834CB5"/>
    <w:rsid w:val="008859DF"/>
    <w:rsid w:val="00894987"/>
    <w:rsid w:val="009563C9"/>
    <w:rsid w:val="009A02A4"/>
    <w:rsid w:val="009A2350"/>
    <w:rsid w:val="009E0022"/>
    <w:rsid w:val="00AB0196"/>
    <w:rsid w:val="00AC288C"/>
    <w:rsid w:val="00B51EEB"/>
    <w:rsid w:val="00B65EE1"/>
    <w:rsid w:val="00BD0FF5"/>
    <w:rsid w:val="00C1038F"/>
    <w:rsid w:val="00D048A8"/>
    <w:rsid w:val="00D2311A"/>
    <w:rsid w:val="00D85E9E"/>
    <w:rsid w:val="00D94274"/>
    <w:rsid w:val="00DB596D"/>
    <w:rsid w:val="00DC13E9"/>
    <w:rsid w:val="00DD073C"/>
    <w:rsid w:val="00E7379B"/>
    <w:rsid w:val="00E9201C"/>
    <w:rsid w:val="00ED19FB"/>
    <w:rsid w:val="00F27B67"/>
    <w:rsid w:val="00F977CA"/>
    <w:rsid w:val="00FE1EFA"/>
    <w:rsid w:val="00FE5AE6"/>
    <w:rsid w:val="03BF3F5D"/>
    <w:rsid w:val="046579DA"/>
    <w:rsid w:val="05263808"/>
    <w:rsid w:val="05D26173"/>
    <w:rsid w:val="063B0388"/>
    <w:rsid w:val="0A494487"/>
    <w:rsid w:val="0A7F610C"/>
    <w:rsid w:val="0C0251A7"/>
    <w:rsid w:val="0D033D67"/>
    <w:rsid w:val="0E7F0BF1"/>
    <w:rsid w:val="0F577B81"/>
    <w:rsid w:val="102B5EE0"/>
    <w:rsid w:val="11301F0B"/>
    <w:rsid w:val="11B16A19"/>
    <w:rsid w:val="1276501C"/>
    <w:rsid w:val="16226AE4"/>
    <w:rsid w:val="18C505BA"/>
    <w:rsid w:val="1A8B2032"/>
    <w:rsid w:val="1C485348"/>
    <w:rsid w:val="1C892317"/>
    <w:rsid w:val="1C9C05C6"/>
    <w:rsid w:val="1CDD4127"/>
    <w:rsid w:val="1D4B4978"/>
    <w:rsid w:val="1D6E308B"/>
    <w:rsid w:val="1EA2353E"/>
    <w:rsid w:val="209A71D5"/>
    <w:rsid w:val="22265B0E"/>
    <w:rsid w:val="22297B8A"/>
    <w:rsid w:val="22ED25AF"/>
    <w:rsid w:val="24AC45D4"/>
    <w:rsid w:val="26BC0CC5"/>
    <w:rsid w:val="27B6201E"/>
    <w:rsid w:val="2964305D"/>
    <w:rsid w:val="2974596F"/>
    <w:rsid w:val="2AD332AE"/>
    <w:rsid w:val="2BC83370"/>
    <w:rsid w:val="2BE76DCE"/>
    <w:rsid w:val="2C4619DF"/>
    <w:rsid w:val="2D10593D"/>
    <w:rsid w:val="2F866410"/>
    <w:rsid w:val="2FDD082B"/>
    <w:rsid w:val="2FF93CB3"/>
    <w:rsid w:val="3017056A"/>
    <w:rsid w:val="311D70DD"/>
    <w:rsid w:val="31D93316"/>
    <w:rsid w:val="326F0D10"/>
    <w:rsid w:val="32BA40FF"/>
    <w:rsid w:val="32BB5E4E"/>
    <w:rsid w:val="336C2131"/>
    <w:rsid w:val="33EE0B3C"/>
    <w:rsid w:val="340901AA"/>
    <w:rsid w:val="37317D01"/>
    <w:rsid w:val="3DA17737"/>
    <w:rsid w:val="3DB30110"/>
    <w:rsid w:val="3EA87AEA"/>
    <w:rsid w:val="3F5A0E46"/>
    <w:rsid w:val="40A526C9"/>
    <w:rsid w:val="4295647D"/>
    <w:rsid w:val="42FE1783"/>
    <w:rsid w:val="45CD1D2F"/>
    <w:rsid w:val="461924FA"/>
    <w:rsid w:val="462853DA"/>
    <w:rsid w:val="47504D30"/>
    <w:rsid w:val="475C2655"/>
    <w:rsid w:val="47626FF9"/>
    <w:rsid w:val="47DC52B9"/>
    <w:rsid w:val="48296F51"/>
    <w:rsid w:val="4A660EF2"/>
    <w:rsid w:val="4D404421"/>
    <w:rsid w:val="4D466EF7"/>
    <w:rsid w:val="4EAA58C6"/>
    <w:rsid w:val="4EB50732"/>
    <w:rsid w:val="51C217FE"/>
    <w:rsid w:val="545622C8"/>
    <w:rsid w:val="56F604DC"/>
    <w:rsid w:val="574F0FA3"/>
    <w:rsid w:val="59B70279"/>
    <w:rsid w:val="5B752D80"/>
    <w:rsid w:val="5DF34D33"/>
    <w:rsid w:val="5E5216C4"/>
    <w:rsid w:val="5F2B43E0"/>
    <w:rsid w:val="60181726"/>
    <w:rsid w:val="606E1352"/>
    <w:rsid w:val="60EB7B7A"/>
    <w:rsid w:val="615E5167"/>
    <w:rsid w:val="62C3411A"/>
    <w:rsid w:val="62F21E4E"/>
    <w:rsid w:val="63F17865"/>
    <w:rsid w:val="664B17C1"/>
    <w:rsid w:val="668E50D7"/>
    <w:rsid w:val="677D033B"/>
    <w:rsid w:val="67C14A93"/>
    <w:rsid w:val="69057B92"/>
    <w:rsid w:val="69563B58"/>
    <w:rsid w:val="69CA7330"/>
    <w:rsid w:val="6ABB6B19"/>
    <w:rsid w:val="6AD53DE0"/>
    <w:rsid w:val="6C776562"/>
    <w:rsid w:val="6E806D7E"/>
    <w:rsid w:val="6F68587C"/>
    <w:rsid w:val="70BE1EBC"/>
    <w:rsid w:val="70F32C8C"/>
    <w:rsid w:val="720C57CD"/>
    <w:rsid w:val="74D27DE9"/>
    <w:rsid w:val="770C633F"/>
    <w:rsid w:val="77C4695B"/>
    <w:rsid w:val="78E5356C"/>
    <w:rsid w:val="79F14C3D"/>
    <w:rsid w:val="7B3B082A"/>
    <w:rsid w:val="7FB97A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b/>
      <w:kern w:val="44"/>
      <w:sz w:val="48"/>
      <w:szCs w:val="48"/>
      <w:lang w:bidi="ug-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uiPriority w:val="99"/>
    <w:rPr>
      <w:b/>
      <w:bCs/>
    </w:rPr>
  </w:style>
  <w:style w:type="character" w:styleId="10">
    <w:name w:val="page number"/>
    <w:basedOn w:val="9"/>
    <w:qFormat/>
    <w:uiPriority w:val="99"/>
    <w:rPr>
      <w:rFonts w:cs="Times New Roman"/>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脚 字符"/>
    <w:basedOn w:val="9"/>
    <w:link w:val="5"/>
    <w:semiHidden/>
    <w:qFormat/>
    <w:uiPriority w:val="99"/>
    <w:rPr>
      <w:sz w:val="18"/>
      <w:szCs w:val="18"/>
    </w:rPr>
  </w:style>
  <w:style w:type="character" w:customStyle="1" w:styleId="14">
    <w:name w:val="页眉 字符"/>
    <w:basedOn w:val="9"/>
    <w:link w:val="6"/>
    <w:semiHidden/>
    <w:qFormat/>
    <w:uiPriority w:val="99"/>
    <w:rPr>
      <w:sz w:val="18"/>
      <w:szCs w:val="18"/>
    </w:rPr>
  </w:style>
  <w:style w:type="character" w:customStyle="1" w:styleId="15">
    <w:name w:val="批注框文本 字符"/>
    <w:basedOn w:val="9"/>
    <w:link w:val="4"/>
    <w:semiHidden/>
    <w:qFormat/>
    <w:uiPriority w:val="99"/>
    <w:rPr>
      <w:kern w:val="2"/>
      <w:sz w:val="18"/>
      <w:szCs w:val="18"/>
      <w:lang w:bidi="ar-SA"/>
    </w:rPr>
  </w:style>
  <w:style w:type="paragraph" w:customStyle="1" w:styleId="16">
    <w:name w:val="Revision"/>
    <w:hidden/>
    <w:unhideWhenUsed/>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9"/>
    <w:link w:val="3"/>
    <w:semiHidden/>
    <w:uiPriority w:val="99"/>
    <w:rPr>
      <w:rFonts w:ascii="Times New Roman" w:hAnsi="Times New Roman" w:eastAsia="宋体" w:cs="Times New Roman"/>
      <w:kern w:val="2"/>
      <w:sz w:val="21"/>
      <w:szCs w:val="24"/>
    </w:rPr>
  </w:style>
  <w:style w:type="character" w:customStyle="1" w:styleId="18">
    <w:name w:val="批注主题 字符"/>
    <w:basedOn w:val="17"/>
    <w:link w:val="7"/>
    <w:semiHidden/>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389</Words>
  <Characters>2218</Characters>
  <Lines>18</Lines>
  <Paragraphs>5</Paragraphs>
  <TotalTime>53</TotalTime>
  <ScaleCrop>false</ScaleCrop>
  <LinksUpToDate>false</LinksUpToDate>
  <CharactersWithSpaces>2602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2023-08-27T13:25:00Z</dcterms:created>
  <dc:creator>新疆泰兴</dc:creator>
  <cp:lastModifiedBy>admin</cp:lastModifiedBy>
  <cp:lastPrinted>2020-09-12T10:43:00Z</cp:lastPrinted>
  <dcterms:modified xsi:type="dcterms:W3CDTF">2023-08-30T02:53:42Z</dcterms:modified>
  <dc:title>棉花委托加工协议书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1759FF401C8647749273FAC9EE709A05_13</vt:lpwstr>
  </property>
</Properties>
</file>